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C4127A"/>
          <w:sz w:val="40"/>
          <w:szCs w:val="40"/>
        </w:rPr>
        <w:t xml:space="preserve">Casus – Business case huisartsenpraktijk</w:t>
      </w:r>
    </w:p>
    <w:p>
      <w:pPr>
        <w:spacing w:after="400"/>
      </w:pPr>
      <w:r>
        <w:rPr>
          <w:b/>
          <w:bCs/>
          <w:color w:val="2E1A47"/>
          <w:sz w:val="28"/>
          <w:szCs w:val="28"/>
        </w:rPr>
        <w:t xml:space="preserve">Centrum voor Vasectomie Utrecht</w:t>
      </w:r>
    </w:p>
    <w:p>
      <w:pPr>
        <w:spacing w:after="160" w:before="320"/>
      </w:pPr>
      <w:r>
        <w:rPr>
          <w:b/>
          <w:bCs/>
          <w:color w:val="2E1A47"/>
          <w:sz w:val="28"/>
          <w:szCs w:val="28"/>
        </w:rPr>
        <w:t xml:space="preserve">Introductie</w:t>
      </w:r>
    </w:p>
    <w:p>
      <w:pPr>
        <w:spacing w:after="160"/>
      </w:pPr>
      <w:r>
        <w:t xml:space="preserve">Huisartsenpraktijk Martinus wil haar patiënten zo goed mogelijk ondersteunen bij het oplossen van hun gezondheidsvragen. De praktijk streeft ernaar om zorg toegankelijk, efficiënt en doelgericht te organiseren. Binnen de praktijk merken de huisartsen dat het aantal vragen over vasectomie (sterilisatie van de man) de afgelopen jaren toeneemt. De praktijk onderzoekt daarom of het interessant is om deze behandeling zelf aan te bieden.</w:t>
      </w:r>
    </w:p>
    <w:p>
      <w:pPr>
        <w:spacing w:after="160"/>
      </w:pPr>
      <w:r>
        <w:t xml:space="preserve">Het idee ontstaat om een aparte onderneming op te richten: Centrum voor Vasectomie Utrecht. De huisartsenpraktijk heeft een omvang van ongeveer drie normpraktijken en staat bekend als een ondernemende praktijk. Tegelijkertijd wil men zich nadrukkelijk niet positioneren als concurrent van andere huisartsen in Utrecht. Daarom wordt ervoor gekozen het initiatief transparant en in openheid te ontwikkelen. In de aanloop naar de realisatie wordt bijvoorbeeld een inhoudelijk symposium georganiseerd, waarvoor alle huisartsen uit de regio Utrecht worden uitgenodigd.</w:t>
      </w:r>
    </w:p>
    <w:p>
      <w:pPr>
        <w:spacing w:after="160" w:before="320"/>
      </w:pPr>
      <w:r>
        <w:rPr>
          <w:b/>
          <w:bCs/>
          <w:color w:val="2E1A47"/>
          <w:sz w:val="28"/>
          <w:szCs w:val="28"/>
        </w:rPr>
        <w:t xml:space="preserve">De vraag</w:t>
      </w:r>
    </w:p>
    <w:p>
      <w:pPr>
        <w:spacing w:after="160"/>
      </w:pPr>
      <w:r>
        <w:t xml:space="preserve">Tijdens een vergadering van de maatschap wordt het idee besproken. De maatschap vraagt u om de financiële haalbaarheid van dit plan te onderzoeken. De maatschap formuleert daarbij enkele uitgangspunten.</w:t>
      </w:r>
    </w:p>
    <w:p>
      <w:pPr>
        <w:spacing w:after="160" w:before="320"/>
      </w:pPr>
      <w:r>
        <w:rPr>
          <w:b/>
          <w:bCs/>
          <w:color w:val="2E1A47"/>
          <w:sz w:val="28"/>
          <w:szCs w:val="28"/>
        </w:rPr>
        <w:t xml:space="preserve">Uitgangspunten</w:t>
      </w:r>
    </w:p>
    <w:p>
      <w:pPr>
        <w:spacing w:after="160"/>
      </w:pPr>
      <w:r>
        <w:t xml:space="preserve">De maatschap heeft uitgesproken dat het centrum binnen drie jaar een substantieel deel van de markt in Utrecht moet bedienen. Concreet betekent dit dat de praktijk de ambitie heeft om binnen drie jaar 25% van de vasectomiemarkt in Utrecht te realiseren. Om de opstartkosten te financieren stelt de maatschap een bedrag van € 15.000 beschikbaar.</w:t>
      </w:r>
    </w:p>
    <w:p>
      <w:pPr>
        <w:spacing w:after="160"/>
      </w:pPr>
      <w:r>
        <w:t xml:space="preserve">Daarnaast houdt de maatschap rekening met een aantal jaarlijkse prijs- en kostenstijgingen. De percentages hiervoor staan hieronder vermeld en worden verderop per kostenpost herhaald. Deze percentages zijn gegeven — het is aan u om ze zelf toe te passen op de bedragen van jaar 1, zodat u de bedragen voor jaar 2 en jaar 3 berekent.</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4400"/>
        <w:gridCol w:w="1800"/>
        <w:gridCol w:w="2600"/>
      </w:tblGrid>
      <w:tr>
        <w:tc>
          <w:tcPr>
            <w:tcW w:type="dxa" w:w="4400"/>
            <w:shd w:fill="F2F2F2" w:val="clear"/>
            <w:tcMar>
              <w:top w:type="dxa" w:w="80"/>
              <w:left w:type="dxa" w:w="120"/>
              <w:bottom w:type="dxa" w:w="80"/>
              <w:right w:type="dxa" w:w="120"/>
            </w:tcMar>
            <w:vAlign w:val="center"/>
          </w:tcPr>
          <w:p>
            <w:pPr>
              <w:jc w:val="left"/>
            </w:pPr>
            <w:r>
              <w:rPr>
                <w:b/>
                <w:bCs/>
                <w:color w:val="2E1A47"/>
              </w:rPr>
              <w:t xml:space="preserve">Post</w:t>
            </w:r>
          </w:p>
        </w:tc>
        <w:tc>
          <w:tcPr>
            <w:tcW w:type="dxa" w:w="1800"/>
            <w:shd w:fill="F2F2F2" w:val="clear"/>
            <w:tcMar>
              <w:top w:type="dxa" w:w="80"/>
              <w:left w:type="dxa" w:w="120"/>
              <w:bottom w:type="dxa" w:w="80"/>
              <w:right w:type="dxa" w:w="120"/>
            </w:tcMar>
            <w:vAlign w:val="center"/>
          </w:tcPr>
          <w:p>
            <w:pPr>
              <w:jc w:val="left"/>
            </w:pPr>
            <w:r>
              <w:rPr>
                <w:b/>
                <w:bCs/>
                <w:color w:val="2E1A47"/>
              </w:rPr>
              <w:t xml:space="preserve">Jaarlijkse stijging</w:t>
            </w:r>
          </w:p>
        </w:tc>
        <w:tc>
          <w:tcPr>
            <w:tcW w:type="dxa" w:w="2600"/>
            <w:shd w:fill="F2F2F2" w:val="clear"/>
            <w:tcMar>
              <w:top w:type="dxa" w:w="80"/>
              <w:left w:type="dxa" w:w="120"/>
              <w:bottom w:type="dxa" w:w="80"/>
              <w:right w:type="dxa" w:w="120"/>
            </w:tcMar>
            <w:vAlign w:val="center"/>
          </w:tcPr>
          <w:p>
            <w:pPr>
              <w:jc w:val="left"/>
            </w:pPr>
            <w:r>
              <w:rPr>
                <w:b/>
                <w:bCs/>
                <w:color w:val="2E1A47"/>
              </w:rPr>
              <w:t xml:space="preserve">Reden</w:t>
            </w:r>
          </w:p>
        </w:tc>
      </w:tr>
      <w:tr>
        <w:tc>
          <w:tcPr>
            <w:tcW w:type="dxa" w:w="4400"/>
            <w:tcMar>
              <w:top w:type="dxa" w:w="80"/>
              <w:left w:type="dxa" w:w="120"/>
              <w:bottom w:type="dxa" w:w="80"/>
              <w:right w:type="dxa" w:w="120"/>
            </w:tcMar>
            <w:vAlign w:val="center"/>
          </w:tcPr>
          <w:p>
            <w:pPr>
              <w:jc w:val="left"/>
            </w:pPr>
            <w:r>
              <w:rPr>
                <w:b w:val="false"/>
                <w:bCs w:val="false"/>
                <w:color w:val="000000"/>
              </w:rPr>
              <w:t xml:space="preserve">Tarief per ingreep</w:t>
            </w:r>
          </w:p>
        </w:tc>
        <w:tc>
          <w:tcPr>
            <w:tcW w:type="dxa" w:w="1800"/>
            <w:tcMar>
              <w:top w:type="dxa" w:w="80"/>
              <w:left w:type="dxa" w:w="120"/>
              <w:bottom w:type="dxa" w:w="80"/>
              <w:right w:type="dxa" w:w="120"/>
            </w:tcMar>
            <w:vAlign w:val="center"/>
          </w:tcPr>
          <w:p>
            <w:pPr>
              <w:jc w:val="left"/>
            </w:pPr>
            <w:r>
              <w:rPr>
                <w:b w:val="false"/>
                <w:bCs w:val="false"/>
                <w:color w:val="000000"/>
              </w:rPr>
              <w:t xml:space="preserve">2,5%</w:t>
            </w:r>
          </w:p>
        </w:tc>
        <w:tc>
          <w:tcPr>
            <w:tcW w:type="dxa" w:w="2600"/>
            <w:tcMar>
              <w:top w:type="dxa" w:w="80"/>
              <w:left w:type="dxa" w:w="120"/>
              <w:bottom w:type="dxa" w:w="80"/>
              <w:right w:type="dxa" w:w="120"/>
            </w:tcMar>
            <w:vAlign w:val="center"/>
          </w:tcPr>
          <w:p>
            <w:pPr>
              <w:jc w:val="left"/>
            </w:pPr>
            <w:r>
              <w:rPr>
                <w:b w:val="false"/>
                <w:bCs w:val="false"/>
                <w:color w:val="000000"/>
              </w:rPr>
              <w:t xml:space="preserve">Marktconforme tariefontwikkeling</w:t>
            </w:r>
          </w:p>
        </w:tc>
      </w:tr>
      <w:tr>
        <w:tc>
          <w:tcPr>
            <w:tcW w:type="dxa" w:w="4400"/>
            <w:tcMar>
              <w:top w:type="dxa" w:w="80"/>
              <w:left w:type="dxa" w:w="120"/>
              <w:bottom w:type="dxa" w:w="80"/>
              <w:right w:type="dxa" w:w="120"/>
            </w:tcMar>
            <w:vAlign w:val="center"/>
          </w:tcPr>
          <w:p>
            <w:pPr>
              <w:jc w:val="left"/>
            </w:pPr>
            <w:r>
              <w:rPr>
                <w:b w:val="false"/>
                <w:bCs w:val="false"/>
                <w:color w:val="000000"/>
              </w:rPr>
              <w:t xml:space="preserve">Salariskosten (HidHa en assistent)</w:t>
            </w:r>
          </w:p>
        </w:tc>
        <w:tc>
          <w:tcPr>
            <w:tcW w:type="dxa" w:w="1800"/>
            <w:tcMar>
              <w:top w:type="dxa" w:w="80"/>
              <w:left w:type="dxa" w:w="120"/>
              <w:bottom w:type="dxa" w:w="80"/>
              <w:right w:type="dxa" w:w="120"/>
            </w:tcMar>
            <w:vAlign w:val="center"/>
          </w:tcPr>
          <w:p>
            <w:pPr>
              <w:jc w:val="left"/>
            </w:pPr>
            <w:r>
              <w:rPr>
                <w:b w:val="false"/>
                <w:bCs w:val="false"/>
                <w:color w:val="000000"/>
              </w:rPr>
              <w:t xml:space="preserve">5,5%</w:t>
            </w:r>
          </w:p>
        </w:tc>
        <w:tc>
          <w:tcPr>
            <w:tcW w:type="dxa" w:w="2600"/>
            <w:tcMar>
              <w:top w:type="dxa" w:w="80"/>
              <w:left w:type="dxa" w:w="120"/>
              <w:bottom w:type="dxa" w:w="80"/>
              <w:right w:type="dxa" w:w="120"/>
            </w:tcMar>
            <w:vAlign w:val="center"/>
          </w:tcPr>
          <w:p>
            <w:pPr>
              <w:jc w:val="left"/>
            </w:pPr>
            <w:r>
              <w:rPr>
                <w:b w:val="false"/>
                <w:bCs w:val="false"/>
                <w:color w:val="000000"/>
              </w:rPr>
              <w:t xml:space="preserve">CAO-verhoging</w:t>
            </w:r>
          </w:p>
        </w:tc>
      </w:tr>
      <w:tr>
        <w:tc>
          <w:tcPr>
            <w:tcW w:type="dxa" w:w="4400"/>
            <w:tcMar>
              <w:top w:type="dxa" w:w="80"/>
              <w:left w:type="dxa" w:w="120"/>
              <w:bottom w:type="dxa" w:w="80"/>
              <w:right w:type="dxa" w:w="120"/>
            </w:tcMar>
            <w:vAlign w:val="center"/>
          </w:tcPr>
          <w:p>
            <w:pPr>
              <w:jc w:val="left"/>
            </w:pPr>
            <w:r>
              <w:rPr>
                <w:b w:val="false"/>
                <w:bCs w:val="false"/>
                <w:color w:val="000000"/>
              </w:rPr>
              <w:t xml:space="preserve">Materiaalkosten</w:t>
            </w:r>
          </w:p>
        </w:tc>
        <w:tc>
          <w:tcPr>
            <w:tcW w:type="dxa" w:w="1800"/>
            <w:tcMar>
              <w:top w:type="dxa" w:w="80"/>
              <w:left w:type="dxa" w:w="120"/>
              <w:bottom w:type="dxa" w:w="80"/>
              <w:right w:type="dxa" w:w="120"/>
            </w:tcMar>
            <w:vAlign w:val="center"/>
          </w:tcPr>
          <w:p>
            <w:pPr>
              <w:jc w:val="left"/>
            </w:pPr>
            <w:r>
              <w:rPr>
                <w:b w:val="false"/>
                <w:bCs w:val="false"/>
                <w:color w:val="000000"/>
              </w:rPr>
              <w:t xml:space="preserve">3,6%</w:t>
            </w:r>
          </w:p>
        </w:tc>
        <w:tc>
          <w:tcPr>
            <w:tcW w:type="dxa" w:w="2600"/>
            <w:tcMar>
              <w:top w:type="dxa" w:w="80"/>
              <w:left w:type="dxa" w:w="120"/>
              <w:bottom w:type="dxa" w:w="80"/>
              <w:right w:type="dxa" w:w="120"/>
            </w:tcMar>
            <w:vAlign w:val="center"/>
          </w:tcPr>
          <w:p>
            <w:pPr>
              <w:jc w:val="left"/>
            </w:pPr>
            <w:r>
              <w:rPr>
                <w:b w:val="false"/>
                <w:bCs w:val="false"/>
                <w:color w:val="000000"/>
              </w:rPr>
              <w:t xml:space="preserve">Inflatiecorrectie</w:t>
            </w:r>
          </w:p>
        </w:tc>
      </w:tr>
      <w:tr>
        <w:tc>
          <w:tcPr>
            <w:tcW w:type="dxa" w:w="4400"/>
            <w:tcMar>
              <w:top w:type="dxa" w:w="80"/>
              <w:left w:type="dxa" w:w="120"/>
              <w:bottom w:type="dxa" w:w="80"/>
              <w:right w:type="dxa" w:w="120"/>
            </w:tcMar>
            <w:vAlign w:val="center"/>
          </w:tcPr>
          <w:p>
            <w:pPr>
              <w:jc w:val="left"/>
            </w:pPr>
            <w:r>
              <w:rPr>
                <w:b w:val="false"/>
                <w:bCs w:val="false"/>
                <w:color w:val="000000"/>
              </w:rPr>
              <w:t xml:space="preserve">Huisvesting, gas/water/licht en marketing</w:t>
            </w:r>
          </w:p>
        </w:tc>
        <w:tc>
          <w:tcPr>
            <w:tcW w:type="dxa" w:w="1800"/>
            <w:tcMar>
              <w:top w:type="dxa" w:w="80"/>
              <w:left w:type="dxa" w:w="120"/>
              <w:bottom w:type="dxa" w:w="80"/>
              <w:right w:type="dxa" w:w="120"/>
            </w:tcMar>
            <w:vAlign w:val="center"/>
          </w:tcPr>
          <w:p>
            <w:pPr>
              <w:jc w:val="left"/>
            </w:pPr>
            <w:r>
              <w:rPr>
                <w:b w:val="false"/>
                <w:bCs w:val="false"/>
                <w:color w:val="000000"/>
              </w:rPr>
              <w:t xml:space="preserve">3,6%</w:t>
            </w:r>
          </w:p>
        </w:tc>
        <w:tc>
          <w:tcPr>
            <w:tcW w:type="dxa" w:w="2600"/>
            <w:tcMar>
              <w:top w:type="dxa" w:w="80"/>
              <w:left w:type="dxa" w:w="120"/>
              <w:bottom w:type="dxa" w:w="80"/>
              <w:right w:type="dxa" w:w="120"/>
            </w:tcMar>
            <w:vAlign w:val="center"/>
          </w:tcPr>
          <w:p>
            <w:pPr>
              <w:jc w:val="left"/>
            </w:pPr>
            <w:r>
              <w:rPr>
                <w:b w:val="false"/>
                <w:bCs w:val="false"/>
                <w:color w:val="000000"/>
              </w:rPr>
              <w:t xml:space="preserve">Inflatiecorrectie</w:t>
            </w:r>
          </w:p>
        </w:tc>
      </w:tr>
    </w:tbl>
    <w:p>
      <w:pPr>
        <w:spacing w:after="200"/>
      </w:pPr>
    </w:p>
    <w:p>
      <w:pPr>
        <w:spacing w:after="160"/>
      </w:pPr>
      <w:r>
        <w:t xml:space="preserve">Werkwijze: bereken eerst de omzet (opdracht 1), vervolgens de kosten (opdracht 2), en bepaal ten slotte de rentabiliteit van de investering (opdracht 3). De rentabiliteit is de uitkomst waarop de investering wordt beoordeeld.</w:t>
      </w:r>
    </w:p>
    <w:p>
      <w:pPr>
        <w:spacing w:after="160" w:before="320"/>
      </w:pPr>
      <w:r>
        <w:rPr>
          <w:b/>
          <w:bCs/>
          <w:color w:val="2E1A47"/>
          <w:sz w:val="28"/>
          <w:szCs w:val="28"/>
        </w:rPr>
        <w:t xml:space="preserve">Marktonderzoek</w:t>
      </w:r>
    </w:p>
    <w:p>
      <w:pPr>
        <w:spacing w:after="160"/>
      </w:pPr>
      <w:r>
        <w:t xml:space="preserve">Om een inschatting te maken van de potentiële vraag naar vasectomie voert u een eenvoudig marktonderzoek uit. Uit landelijke gegevens blijkt dat binnen een normpraktijk gemiddeld vijf vasectomieën per jaar plaatsvinden. Volgens cijfers van Nivel zijn er in Utrecht 178 normpraktijken. De totale potentiële markt voor vasectomie in Utrecht bedraagt daarom:</w:t>
      </w:r>
    </w:p>
    <w:p>
      <w:pPr>
        <w:spacing w:after="160"/>
      </w:pPr>
      <w:r>
        <w:rPr>
          <w:b/>
          <w:bCs/>
        </w:rPr>
        <w:t xml:space="preserve">178 × 5 = 890 ingrepen per jaar.</w:t>
      </w:r>
    </w:p>
    <w:p>
      <w:pPr>
        <w:spacing w:after="160" w:before="320"/>
      </w:pPr>
      <w:r>
        <w:rPr>
          <w:b/>
          <w:bCs/>
          <w:color w:val="2E1A47"/>
          <w:sz w:val="28"/>
          <w:szCs w:val="28"/>
        </w:rPr>
        <w:t xml:space="preserve">Marktaandeel</w:t>
      </w:r>
    </w:p>
    <w:p>
      <w:pPr>
        <w:spacing w:after="160"/>
      </w:pPr>
      <w:r>
        <w:t xml:space="preserve">De doelstelling van de praktijk is om binnen drie jaar 25% van deze markt te bedienen. De groei van het marktaandeel verloopt volgens het volgende scenario:</w:t>
      </w:r>
    </w:p>
    <w:p>
      <w:pPr>
        <w:pStyle w:val="ListParagraph"/>
        <w:numPr>
          <w:ilvl w:val="0"/>
          <w:numId w:val="1"/>
        </w:numPr>
        <w:spacing w:after="80"/>
      </w:pPr>
      <w:r>
        <w:t xml:space="preserve">Jaar 1 – 5%</w:t>
      </w:r>
    </w:p>
    <w:p>
      <w:pPr>
        <w:pStyle w:val="ListParagraph"/>
        <w:numPr>
          <w:ilvl w:val="0"/>
          <w:numId w:val="1"/>
        </w:numPr>
        <w:spacing w:after="80"/>
      </w:pPr>
      <w:r>
        <w:t xml:space="preserve">Jaar 2 – 15%</w:t>
      </w:r>
    </w:p>
    <w:p>
      <w:pPr>
        <w:pStyle w:val="ListParagraph"/>
        <w:numPr>
          <w:ilvl w:val="0"/>
          <w:numId w:val="1"/>
        </w:numPr>
        <w:spacing w:after="80"/>
      </w:pPr>
      <w:r>
        <w:t xml:space="preserve">Jaar 3 – 25%</w:t>
      </w:r>
    </w:p>
    <w:p>
      <w:pPr>
        <w:spacing w:after="160" w:before="320"/>
      </w:pPr>
      <w:r>
        <w:rPr>
          <w:b/>
          <w:bCs/>
          <w:color w:val="2E1A47"/>
          <w:sz w:val="28"/>
          <w:szCs w:val="28"/>
        </w:rPr>
        <w:t xml:space="preserve">Tarief per behandeling</w:t>
      </w:r>
    </w:p>
    <w:p>
      <w:pPr>
        <w:spacing w:after="160"/>
      </w:pPr>
      <w:r>
        <w:t xml:space="preserve">De gemiddelde vergoeding voor een vasectomie bedraagt in jaar 1 € 500 per ingreep. Dit tarief stijgt vervolgens jaarlijks met 2,5%. Voor het gehele behandelproces wordt uitgegaan van één uur behandeltijd per patiënt.</w:t>
      </w:r>
    </w:p>
    <w:p>
      <w:pPr>
        <w:spacing w:after="160" w:before="320"/>
      </w:pPr>
      <w:r>
        <w:rPr>
          <w:b/>
          <w:bCs/>
          <w:color w:val="2E1A47"/>
          <w:sz w:val="28"/>
          <w:szCs w:val="28"/>
        </w:rPr>
        <w:t xml:space="preserve">Opdracht 1 — Omzet</w:t>
      </w:r>
    </w:p>
    <w:p>
      <w:pPr>
        <w:spacing w:after="160"/>
      </w:pPr>
      <w:r>
        <w:t xml:space="preserve">Bereken de verwachte omzet voor de drie jaren op basis van:</w:t>
      </w:r>
    </w:p>
    <w:p>
      <w:pPr>
        <w:pStyle w:val="ListParagraph"/>
        <w:numPr>
          <w:ilvl w:val="0"/>
          <w:numId w:val="1"/>
        </w:numPr>
        <w:spacing w:after="80"/>
      </w:pPr>
      <w:r>
        <w:t xml:space="preserve">de omvang van de markt</w:t>
      </w:r>
    </w:p>
    <w:p>
      <w:pPr>
        <w:pStyle w:val="ListParagraph"/>
        <w:numPr>
          <w:ilvl w:val="0"/>
          <w:numId w:val="1"/>
        </w:numPr>
        <w:spacing w:after="80"/>
      </w:pPr>
      <w:r>
        <w:t xml:space="preserve">het verwachte marktaandeel</w:t>
      </w:r>
    </w:p>
    <w:p>
      <w:pPr>
        <w:pStyle w:val="ListParagraph"/>
        <w:numPr>
          <w:ilvl w:val="0"/>
          <w:numId w:val="1"/>
        </w:numPr>
        <w:spacing w:after="80"/>
      </w:pPr>
      <w:r>
        <w:t xml:space="preserve">het tarief per behandeling, waarbij u de jaarlijkse stijging van 2,5% zelf toepast op jaar 2 en jaar 3</w:t>
      </w:r>
    </w:p>
    <w:p>
      <w:pPr>
        <w:spacing w:after="160"/>
      </w:pPr>
      <w:r>
        <w:t xml:space="preserve">Maak hierbij een overzicht van:</w:t>
      </w:r>
    </w:p>
    <w:p>
      <w:pPr>
        <w:pStyle w:val="ListParagraph"/>
        <w:numPr>
          <w:ilvl w:val="0"/>
          <w:numId w:val="1"/>
        </w:numPr>
        <w:spacing w:after="80"/>
      </w:pPr>
      <w:r>
        <w:t xml:space="preserve">het aantal behandelingen per jaar</w:t>
      </w:r>
    </w:p>
    <w:p>
      <w:pPr>
        <w:pStyle w:val="ListParagraph"/>
        <w:numPr>
          <w:ilvl w:val="0"/>
          <w:numId w:val="1"/>
        </w:numPr>
        <w:spacing w:after="80"/>
      </w:pPr>
      <w:r>
        <w:t xml:space="preserve">de totale omzet per jaar</w:t>
      </w:r>
    </w:p>
    <w:p>
      <w:pPr>
        <w:spacing w:after="160" w:before="320"/>
      </w:pPr>
      <w:r>
        <w:rPr>
          <w:b/>
          <w:bCs/>
          <w:color w:val="2E1A47"/>
          <w:sz w:val="28"/>
          <w:szCs w:val="28"/>
        </w:rPr>
        <w:t xml:space="preserve">Kosten</w:t>
      </w:r>
    </w:p>
    <w:p>
      <w:pPr>
        <w:spacing w:after="160"/>
      </w:pPr>
      <w:r>
        <w:t xml:space="preserve">Naast de potentiële inkomsten brengt u ook de kosten van het initiatief in kaart.</w:t>
      </w:r>
    </w:p>
    <w:p>
      <w:pPr>
        <w:spacing w:after="120" w:before="240"/>
      </w:pPr>
      <w:r>
        <w:rPr>
          <w:b/>
          <w:bCs/>
          <w:color w:val="2E1A47"/>
          <w:sz w:val="24"/>
          <w:szCs w:val="24"/>
        </w:rPr>
        <w:t xml:space="preserve">Personeelskosten</w:t>
      </w:r>
    </w:p>
    <w:p>
      <w:pPr>
        <w:spacing w:after="160"/>
      </w:pPr>
      <w:r>
        <w:t xml:space="preserve">Voor het uitvoeren van de behandelingen wordt het bestaande contract van een HidHa (huisarts in dienst van een huisarts) uitgebreid. Het uurtarief van de HidHa bedraagt in jaar 1 € 110 per uur (inclusief vakantiegeld en sociale lasten). Tijdens de ingreep wordt de HidHa geassisteerd door een doktersassistent, met een uurtarief van € 55 per uur in jaar 1. Deze assistent is al in dienst bij de praktijk en kan flexibel worden ingezet op momenten dat haar ondersteuning nodig is.</w:t>
      </w:r>
    </w:p>
    <w:p>
      <w:pPr>
        <w:spacing w:after="160"/>
      </w:pPr>
      <w:r>
        <w:t xml:space="preserve">Beide uurtarieven stijgen jaarlijks met de CAO-verhoging van gemiddeld 5,5%. Bereken zelf de uurtarieven voor jaar 2 en jaar 3.</w:t>
      </w:r>
    </w:p>
    <w:p>
      <w:pPr>
        <w:spacing w:after="120" w:before="240"/>
      </w:pPr>
      <w:r>
        <w:rPr>
          <w:b/>
          <w:bCs/>
          <w:color w:val="2E1A47"/>
          <w:sz w:val="24"/>
          <w:szCs w:val="24"/>
        </w:rPr>
        <w:t xml:space="preserve">Materiaalkosten</w:t>
      </w:r>
    </w:p>
    <w:p>
      <w:pPr>
        <w:spacing w:after="160"/>
      </w:pPr>
      <w:r>
        <w:t xml:space="preserve">De kosten voor medische materialen die nodig zijn voor de behandeling worden in jaar 1 geschat op € 90 per behandeling. Deze materiaalkosten stijgen jaarlijks met de gemiddelde inflatiecorrectie van 3,6%. Bereken zelf de materiaalkosten per behandeling voor jaar 2 en jaar 3.</w:t>
      </w:r>
    </w:p>
    <w:p>
      <w:pPr>
        <w:spacing w:after="120" w:before="240"/>
      </w:pPr>
      <w:r>
        <w:rPr>
          <w:b/>
          <w:bCs/>
          <w:color w:val="2E1A47"/>
          <w:sz w:val="24"/>
          <w:szCs w:val="24"/>
        </w:rPr>
        <w:t xml:space="preserve">Huisvesting</w:t>
      </w:r>
    </w:p>
    <w:p>
      <w:pPr>
        <w:spacing w:after="160"/>
      </w:pPr>
      <w:r>
        <w:t xml:space="preserve">Binnen het gezondheidscentrum waar de praktijk gevestigd is, wordt een extra ruimte gehuurd voor de behandelingen. De huurkosten bedragen in jaar 1 € 1.000 per maand, oftewel € 12.000 per jaar. Ook de huurkosten stijgen jaarlijks mee met de inflatiecorrectie van 3,6%. Bereken zelf de huurkosten voor jaar 2 en jaar 3.</w:t>
      </w:r>
    </w:p>
    <w:p>
      <w:pPr>
        <w:spacing w:after="120" w:before="240"/>
      </w:pPr>
      <w:r>
        <w:rPr>
          <w:b/>
          <w:bCs/>
          <w:color w:val="2E1A47"/>
          <w:sz w:val="24"/>
          <w:szCs w:val="24"/>
        </w:rPr>
        <w:t xml:space="preserve">Gas, water en licht</w:t>
      </w:r>
    </w:p>
    <w:p>
      <w:pPr>
        <w:spacing w:after="160"/>
      </w:pPr>
      <w:r>
        <w:t xml:space="preserve">Voor deze extra behandelkamer worden de kosten voor energie in jaar 1 geschat op € 115 per maand, oftewel € 1.380 per jaar. Ook deze kosten stijgen jaarlijks mee met de inflatiecorrectie van 3,6%. Bereken zelf de kosten voor jaar 2 en jaar 3.</w:t>
      </w:r>
    </w:p>
    <w:p>
      <w:pPr>
        <w:spacing w:after="120" w:before="240"/>
      </w:pPr>
      <w:r>
        <w:rPr>
          <w:b/>
          <w:bCs/>
          <w:color w:val="2E1A47"/>
          <w:sz w:val="24"/>
          <w:szCs w:val="24"/>
        </w:rPr>
        <w:t xml:space="preserve">Juridische en advieskosten</w:t>
      </w:r>
    </w:p>
    <w:p>
      <w:pPr>
        <w:spacing w:after="160"/>
      </w:pPr>
      <w:r>
        <w:t xml:space="preserve">Voor het oprichten van de nieuwe onderneming en het inwinnen van juridisch advies zijn eenmalige kosten gemaakt. De totale kosten hiervoor bedragen € 1.500. Dit betreft een eenmalige kostenpost in jaar 1; deze kosten komen in jaar 2 en jaar 3 niet terug.</w:t>
      </w:r>
    </w:p>
    <w:p>
      <w:pPr>
        <w:spacing w:after="120" w:before="240"/>
      </w:pPr>
      <w:r>
        <w:rPr>
          <w:b/>
          <w:bCs/>
          <w:color w:val="2E1A47"/>
          <w:sz w:val="24"/>
          <w:szCs w:val="24"/>
        </w:rPr>
        <w:t xml:space="preserve">Marketing en communicatie</w:t>
      </w:r>
    </w:p>
    <w:p>
      <w:pPr>
        <w:spacing w:after="160"/>
      </w:pPr>
      <w:r>
        <w:t xml:space="preserve">Om het centrum onder de aandacht te brengen worden verschillende marketingactiviteiten uitgevoerd. De kosten bestaan uit:</w:t>
      </w:r>
    </w:p>
    <w:p>
      <w:pPr>
        <w:pStyle w:val="ListParagraph"/>
        <w:numPr>
          <w:ilvl w:val="0"/>
          <w:numId w:val="1"/>
        </w:numPr>
        <w:spacing w:after="80"/>
      </w:pPr>
      <w:r>
        <w:t xml:space="preserve">ontwikkeling van een website: € 1.000</w:t>
      </w:r>
    </w:p>
    <w:p>
      <w:pPr>
        <w:pStyle w:val="ListParagraph"/>
        <w:numPr>
          <w:ilvl w:val="0"/>
          <w:numId w:val="1"/>
        </w:numPr>
        <w:spacing w:after="80"/>
      </w:pPr>
      <w:r>
        <w:t xml:space="preserve">jaarlijks symposium voor huisartsen: € 2.500</w:t>
      </w:r>
    </w:p>
    <w:p>
      <w:pPr>
        <w:pStyle w:val="ListParagraph"/>
        <w:numPr>
          <w:ilvl w:val="0"/>
          <w:numId w:val="1"/>
        </w:numPr>
        <w:spacing w:after="80"/>
      </w:pPr>
      <w:r>
        <w:t xml:space="preserve">overige marketingactiviteiten: € 1.500</w:t>
      </w:r>
    </w:p>
    <w:p>
      <w:pPr>
        <w:spacing w:after="160"/>
      </w:pPr>
      <w:r>
        <w:t xml:space="preserve">De totale marketingkosten bedragen in jaar 1 € 4.000. Ook deze kosten stijgen jaarlijks mee met de inflatiecorrectie van 3,6%. Bereken zelf de marketingkosten voor jaar 2 en jaar 3.</w:t>
      </w:r>
    </w:p>
    <w:p>
      <w:pPr>
        <w:spacing w:after="120" w:before="240"/>
      </w:pPr>
      <w:r>
        <w:rPr>
          <w:b/>
          <w:bCs/>
          <w:color w:val="2E1A47"/>
          <w:sz w:val="24"/>
          <w:szCs w:val="24"/>
        </w:rPr>
        <w:t xml:space="preserve">Inventaris en afschrijving</w:t>
      </w:r>
    </w:p>
    <w:p>
      <w:pPr>
        <w:spacing w:after="160"/>
      </w:pPr>
      <w:r>
        <w:t xml:space="preserve">Voor de inrichting van de behandelkamer wordt geïnvesteerd in medische inventaris en inrichting. De totale investering bedraagt € 10.000.</w:t>
      </w:r>
    </w:p>
    <w:p>
      <w:pPr>
        <w:spacing w:after="160"/>
      </w:pPr>
      <w:r>
        <w:t xml:space="preserve">Deze investering wordt niet in één keer als kostenpost geboekt, maar </w:t>
      </w:r>
    </w:p>
    <w:p>
      <w:pPr>
        <w:spacing w:after="160"/>
      </w:pPr>
      <w:r>
        <w:rPr>
          <w:b/>
          <w:bCs/>
        </w:rPr>
        <w:t xml:space="preserve">lineair afgeschreven over 5 jaar</w:t>
      </w:r>
      <w:r>
        <w:t xml:space="preserve">, uitgaande van een restwaarde van € 0. Dit betekent een jaarlijkse afschrijvingslast van:</w:t>
      </w:r>
    </w:p>
    <w:p>
      <w:pPr>
        <w:spacing w:after="160"/>
      </w:pPr>
      <w:r>
        <w:rPr>
          <w:b/>
          <w:bCs/>
        </w:rPr>
        <w:t xml:space="preserve">€ 10.000 ÷ 5 jaar = € 2.000 per jaar.</w:t>
      </w:r>
    </w:p>
    <w:p>
      <w:pPr>
        <w:spacing w:after="160"/>
      </w:pPr>
      <w:r>
        <w:t xml:space="preserve">Deze afschrijvingslast van € 2.000 telt in alle drie de jaren mee als kostenpost.</w:t>
      </w:r>
    </w:p>
    <w:p>
      <w:pPr>
        <w:spacing w:after="160" w:before="320"/>
      </w:pPr>
      <w:r>
        <w:rPr>
          <w:b/>
          <w:bCs/>
          <w:color w:val="2E1A47"/>
          <w:sz w:val="28"/>
          <w:szCs w:val="28"/>
        </w:rPr>
        <w:t xml:space="preserve">Opdracht 2 — Kosten</w:t>
      </w:r>
    </w:p>
    <w:p>
      <w:pPr>
        <w:spacing w:after="160"/>
      </w:pPr>
      <w:r>
        <w:t xml:space="preserve">a. Breng in kaart welke van de bovenstaande kosten in deze casus:</w:t>
      </w:r>
    </w:p>
    <w:p>
      <w:pPr>
        <w:pStyle w:val="ListParagraph"/>
        <w:numPr>
          <w:ilvl w:val="0"/>
          <w:numId w:val="1"/>
        </w:numPr>
        <w:spacing w:after="80"/>
      </w:pPr>
      <w:r>
        <w:t xml:space="preserve">vaste kosten zijn</w:t>
      </w:r>
    </w:p>
    <w:p>
      <w:pPr>
        <w:pStyle w:val="ListParagraph"/>
        <w:numPr>
          <w:ilvl w:val="0"/>
          <w:numId w:val="1"/>
        </w:numPr>
        <w:spacing w:after="80"/>
      </w:pPr>
      <w:r>
        <w:t xml:space="preserve">variabele kosten zijn</w:t>
      </w:r>
    </w:p>
    <w:p>
      <w:pPr>
        <w:spacing w:after="160"/>
      </w:pPr>
      <w:r>
        <w:t xml:space="preserve">b. Bereken de totale kosten per jaar (jaar 1, 2 en 3). Pas hierbij zelf de gegeven percentages toe op de salaris-, materiaal-, huisvestings-, energie- en marketingkosten, en neem de jaarlijkse afschrijvingslast op de inventaris mee (€ 10.000, lineair afgeschreven over 5 jaar, dus € 2.000 per jaar).</w:t>
      </w:r>
    </w:p>
    <w:p>
      <w:pPr>
        <w:spacing w:after="160" w:before="320"/>
      </w:pPr>
      <w:r>
        <w:rPr>
          <w:b/>
          <w:bCs/>
          <w:color w:val="2E1A47"/>
          <w:sz w:val="28"/>
          <w:szCs w:val="28"/>
        </w:rPr>
        <w:t xml:space="preserve">Opdracht 3 — Rentabiliteit</w:t>
      </w:r>
    </w:p>
    <w:p>
      <w:pPr>
        <w:spacing w:after="160"/>
      </w:pPr>
      <w:r>
        <w:t xml:space="preserve">De rentabiliteit geeft aan hoeveel rendement een investering oplevert, uitgedrukt als percentage van de investering. De formule is:</w:t>
      </w:r>
    </w:p>
    <w:p>
      <w:pPr>
        <w:spacing w:after="160"/>
      </w:pPr>
      <w:r>
        <w:rPr>
          <w:b/>
          <w:bCs/>
        </w:rPr>
        <w:t xml:space="preserve">Rentabiliteit = (resultaat ÷ investering) × 100%</w:t>
      </w:r>
    </w:p>
    <w:p>
      <w:pPr>
        <w:spacing w:after="160"/>
      </w:pPr>
      <w:r>
        <w:t xml:space="preserve">Ga bij de berekening van de rentabiliteit uit van de investering in de medische inventaris (€ 10.000).</w:t>
      </w:r>
    </w:p>
    <w:p>
      <w:pPr>
        <w:spacing w:after="160"/>
      </w:pPr>
      <w:r>
        <w:t xml:space="preserve">Bereken voor jaar 1, jaar 2 en jaar 3:</w:t>
      </w:r>
    </w:p>
    <w:p>
      <w:pPr>
        <w:pStyle w:val="ListParagraph"/>
        <w:numPr>
          <w:ilvl w:val="0"/>
          <w:numId w:val="1"/>
        </w:numPr>
        <w:spacing w:after="80"/>
      </w:pPr>
      <w:r>
        <w:t xml:space="preserve">het resultaat (omzet min totale kosten)</w:t>
      </w:r>
    </w:p>
    <w:p>
      <w:pPr>
        <w:pStyle w:val="ListParagraph"/>
        <w:numPr>
          <w:ilvl w:val="0"/>
          <w:numId w:val="1"/>
        </w:numPr>
        <w:spacing w:after="80"/>
      </w:pPr>
      <w:r>
        <w:t xml:space="preserve">de rentabiliteit (resultaat ÷ investering × 100%)</w:t>
      </w:r>
    </w:p>
    <w:p>
      <w:pPr>
        <w:spacing w:after="160"/>
      </w:pPr>
      <w:r>
        <w:t xml:space="preserve">We beoordelen de investering immers op de rentabiliteit: dit is de uitkomst waarmee u in opdracht 4 het advies aan de maatschap onderbouwt.</w:t>
      </w:r>
    </w:p>
    <w:p>
      <w:pPr>
        <w:spacing w:after="160" w:before="320"/>
      </w:pPr>
      <w:r>
        <w:rPr>
          <w:b/>
          <w:bCs/>
          <w:color w:val="2E1A47"/>
          <w:sz w:val="28"/>
          <w:szCs w:val="28"/>
        </w:rPr>
        <w:t xml:space="preserve">Opdracht 4 — Advies</w:t>
      </w:r>
    </w:p>
    <w:p>
      <w:pPr>
        <w:spacing w:after="160"/>
      </w:pPr>
      <w:r>
        <w:t xml:space="preserve">Formuleer een advies aan de maatschap. Ga daarbij onder andere in op:</w:t>
      </w:r>
    </w:p>
    <w:p>
      <w:pPr>
        <w:pStyle w:val="ListParagraph"/>
        <w:numPr>
          <w:ilvl w:val="0"/>
          <w:numId w:val="1"/>
        </w:numPr>
        <w:spacing w:after="80"/>
      </w:pPr>
      <w:r>
        <w:t xml:space="preserve">de financiële haalbaarheid van het plan, op basis van de berekende rentabiliteit</w:t>
      </w:r>
    </w:p>
    <w:p>
      <w:pPr>
        <w:pStyle w:val="ListParagraph"/>
        <w:numPr>
          <w:ilvl w:val="0"/>
          <w:numId w:val="1"/>
        </w:numPr>
        <w:spacing w:after="80"/>
      </w:pPr>
      <w:r>
        <w:t xml:space="preserve">de verwachte ontwikkeling van de resultaten en de rentabiliteit over de drie jaren</w:t>
      </w:r>
    </w:p>
    <w:p>
      <w:pPr>
        <w:pStyle w:val="ListParagraph"/>
        <w:numPr>
          <w:ilvl w:val="0"/>
          <w:numId w:val="1"/>
        </w:numPr>
        <w:spacing w:after="80"/>
      </w:pPr>
      <w:r>
        <w:t xml:space="preserve">de vraag of het beschikbare startkapitaal van € 15.000 voldoende is om het initiatief te realiseren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2026-09-14T21:19:42.202Z</dcterms:created>
  <dcterms:modified xsi:type="dcterms:W3CDTF">2026-09-14T21:19:42.212Z</dcterms:modified>
</cp:coreProperties>
</file>

<file path=docProps/custom.xml><?xml version="1.0" encoding="utf-8"?>
<Properties xmlns="http://schemas.openxmlformats.org/officeDocument/2006/custom-properties" xmlns:vt="http://schemas.openxmlformats.org/officeDocument/2006/docPropsVTypes"/>
</file>